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Карточка исполнения судебного решения</w:t>
      </w:r>
    </w:p>
    <w:p>
      <w:r>
        <w:t xml:space="preserve">Рабочая инструкция</w:t>
      </w:r>
    </w:p>
    <w:p>
      <w:r>
        <w:t xml:space="preserve"/>
      </w:r>
    </w:p>
    <w:p>
      <w:r>
        <w:t xml:space="preserve">Сверьте основание исполнения</w:t>
      </w:r>
    </w:p>
    <w:p>
      <w:r>
        <w:t xml:space="preserve">Запишите судебный акт и исполнительный документ: орган, дату, номер, взыскателя, должника и содержание требования. Сопоставьте реквизиты с имеющимися документами. Отдельно укажите, где находится оригинал и имеется ли электронная форма.</w:t>
      </w:r>
    </w:p>
    <w:p>
      <w:r>
        <w:t xml:space="preserve"/>
      </w:r>
    </w:p>
    <w:p>
      <w:r>
        <w:t xml:space="preserve">Зафиксируйте выбранный маршрут</w:t>
      </w:r>
    </w:p>
    <w:p>
      <w:r>
        <w:t xml:space="preserve">Укажите, куда документ предъявлен и каким способом. Сохраните заявление, подтверждение передачи и поступившие документы. Возможность выбранного способа исполнения и срок предъявления проверьте по виду документа и обстоятельствам.</w:t>
      </w:r>
    </w:p>
    <w:p>
      <w:r>
        <w:t xml:space="preserve"/>
      </w:r>
    </w:p>
    <w:p>
      <w:r>
        <w:t xml:space="preserve">Ведите реестр поступлений</w:t>
      </w:r>
    </w:p>
    <w:p>
      <w:r>
        <w:t xml:space="preserve">Записывайте дату, сумму, назначение и источник каждого платежа. Не смешивайте сумму требования с расходами и другими начислениями. Остаток по арифметической таблице сверяйте с официальными документами и применимым порядком зачёта.</w:t>
      </w:r>
    </w:p>
    <w:p>
      <w:r>
        <w:t xml:space="preserve"/>
      </w:r>
    </w:p>
    <w:p>
      <w:r>
        <w:t xml:space="preserve">Учитывайте обращения и ответы</w:t>
      </w:r>
    </w:p>
    <w:p>
      <w:r>
        <w:t xml:space="preserve">В хронологии разместите заявления, ответы, постановления и события. Для каждого запишите дату получения и способ доставки. Список доказательств позволяет быстро найти документ, на который опирается следующая просьба.</w:t>
      </w:r>
    </w:p>
    <w:p>
      <w:r>
        <w:t xml:space="preserve"/>
      </w:r>
    </w:p>
    <w:p>
      <w:r>
        <w:t xml:space="preserve">Проверяйте основания следующих действий</w:t>
      </w:r>
    </w:p>
    <w:p>
      <w:r>
        <w:t xml:space="preserve">Перед жалобой или новым обращением определите, какое действие или бездействие оспаривается, кем и в каком порядке. Календарный инструмент не устанавливает срок обжалования и не учитывает его юридические особенности.</w:t>
      </w:r>
    </w:p>
    <w:p>
      <w:r>
        <w:t xml:space="preserve"/>
      </w:r>
    </w:p>
    <w:p>
      <w:r>
        <w:t xml:space="preserve">ПРАВОВЫЕ ОРИЕНТИРЫ</w:t>
      </w:r>
    </w:p>
    <w:p>
      <w:r>
        <w:t xml:space="preserve">Об исполнительном производстве · 229-ФЗ: https://www.consultant.ru/document/cons_doc_LAW_71450/</w:t>
      </w:r>
    </w:p>
    <w:p>
      <w:r>
        <w:t xml:space="preserve">Гражданский процессуальный кодекс РФ: https://www.consultant.ru/document/cons_doc_LAW_39570/</w:t>
      </w:r>
    </w:p>
    <w:p>
      <w:r>
        <w:t xml:space="preserve">Кодекс административного судопроизводства РФ: https://www.consultant.ru/document/cons_doc_LAW_176147/</w:t>
      </w:r>
    </w:p>
    <w:sectPr>
      <w:pgSz w:w="11906" w:h="16838"/>
      <w:pgMar w:top="1134" w:right="1134" w:bottom="1134" w:left="1701"/>
    </w:sectPr>
  </w:body>
</w:document>
</file>